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Cs w:val="32"/>
        </w:rPr>
        <w:t>IV. Промышленное рыболовство и прибрежное рыболовство</w:t>
      </w:r>
    </w:p>
    <w:p>
      <w:pPr>
        <w:pStyle w:val="ConsPlusNormal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Cs w:val="32"/>
        </w:rPr>
        <w:t>в Северном рыбохозяйственном районе Волжско-Каспийского</w:t>
      </w:r>
    </w:p>
    <w:p>
      <w:pPr>
        <w:pStyle w:val="ConsPlusNormal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Cs w:val="32"/>
        </w:rPr>
        <w:t>рыбохозяйственного бассейна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22. Запретные для добычи (вылова) водных биоресурсов районы: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Запрещается добыча (вылов) всех видов водных биоресурсов в течение года: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а) у плотин ГЭС в нижнем бьефе на расстоянии (в км):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Нижегородская ГЭС - 5;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б) в подводящих и отводных магистральных каналах теплоэнергоцентралей, электростанций, а также шлюзовых каналах водохранилищ;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23. Запретные сроки (периоды) добычи (вылова) водных биоресурсов: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с 15 апреля по 15 июня - всех видов водных биоресурсов во всех водных объектах рыбохозяйственного значения, за исключением Волгоградского, Саратовского, Куйбышевского и Нижнекамского, Чебоксарского водохранилищ и реки Ока с впадающими в них реками;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 xml:space="preserve">(в ред.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Приказа</w:t>
        </w:r>
      </w:hyperlink>
      <w:r>
        <w:rPr>
          <w:rFonts w:cs="Times New Roman" w:ascii="Times New Roman" w:hAnsi="Times New Roman"/>
          <w:szCs w:val="32"/>
        </w:rPr>
        <w:t xml:space="preserve"> Минсельхоза России от 06.11.2018 N 511)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с 10 апреля по 10 июня в Чебоксарском водохранилище с впадающими в него реками;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 xml:space="preserve">(в ред.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Приказа</w:t>
        </w:r>
      </w:hyperlink>
      <w:r>
        <w:rPr>
          <w:rFonts w:cs="Times New Roman" w:ascii="Times New Roman" w:hAnsi="Times New Roman"/>
          <w:szCs w:val="32"/>
        </w:rPr>
        <w:t xml:space="preserve"> Минсельхоза России от 06.11.2018 N 511)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с 1 декабря по 14 июля и с 16 августа по 14 сентября - раков;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 xml:space="preserve">с 1 октября по 30 апреля - на зимовальных ямах, указанных в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приложении N 5</w:t>
        </w:r>
      </w:hyperlink>
      <w:r>
        <w:rPr>
          <w:rFonts w:cs="Times New Roman" w:ascii="Times New Roman" w:hAnsi="Times New Roman"/>
          <w:szCs w:val="32"/>
        </w:rPr>
        <w:t xml:space="preserve"> к Правилам рыболовства "Перечень зимовальных ям,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 xml:space="preserve">(абзац введен </w:t>
      </w:r>
      <w:hyperlink r:id="rId5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Приказом</w:t>
        </w:r>
      </w:hyperlink>
      <w:r>
        <w:rPr>
          <w:rFonts w:cs="Times New Roman" w:ascii="Times New Roman" w:hAnsi="Times New Roman"/>
          <w:szCs w:val="32"/>
        </w:rPr>
        <w:t xml:space="preserve"> Минсельхоза России от 27.07.2017 N 371)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с 20 декабря по 19 января - налима во всех водных объектах рыбохозяйственного значения Нижегородской области;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 xml:space="preserve">(абзац введен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Приказом</w:t>
        </w:r>
      </w:hyperlink>
      <w:r>
        <w:rPr>
          <w:rFonts w:cs="Times New Roman" w:ascii="Times New Roman" w:hAnsi="Times New Roman"/>
          <w:szCs w:val="32"/>
        </w:rPr>
        <w:t xml:space="preserve"> Минсельхоза России от 06.11.2018 N 511).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24. Запретные для добычи (вылова) виды водных биоресурсов:</w:t>
      </w:r>
    </w:p>
    <w:p>
      <w:pPr>
        <w:pStyle w:val="ConsPlusNormal"/>
        <w:spacing w:before="160" w:after="160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>белуга, осетр русский, севрюга, стерлядь во всех водных объектах рыбохозяйственного значения бассейна реки Волга от истока до Чебоксарской ГЭС,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Cs w:val="32"/>
        </w:rPr>
        <w:t xml:space="preserve">(п. 24 в ред.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Приказа</w:t>
        </w:r>
      </w:hyperlink>
      <w:r>
        <w:rPr>
          <w:rFonts w:cs="Times New Roman" w:ascii="Times New Roman" w:hAnsi="Times New Roman"/>
          <w:szCs w:val="32"/>
        </w:rPr>
        <w:t xml:space="preserve"> Минсельхоза России от 27.07.2017 N 371).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>25. Виды запретных орудий и способов добычи (вылова) водных биоресурсов:</w:t>
      </w:r>
    </w:p>
    <w:p>
      <w:pPr>
        <w:pStyle w:val="ConsPlusNormal"/>
        <w:spacing w:before="160" w:after="160"/>
        <w:ind w:left="0" w:right="0" w:firstLine="540"/>
        <w:jc w:val="both"/>
        <w:rPr/>
      </w:pPr>
      <w:r>
        <w:rPr>
          <w:rFonts w:cs="Times New Roman" w:ascii="Times New Roman" w:hAnsi="Times New Roman"/>
          <w:szCs w:val="32"/>
        </w:rPr>
        <w:t xml:space="preserve">При осуществлении добычи (вылова) водных биоресурсов применяются стандартные орудия добычи (вылова), изготовленные в соответствии с технической документацией. Запрещается применение орудий и способов добычи (вылова), не предусмотренных в </w:t>
      </w:r>
      <w:hyperlink r:id="rId8">
        <w:r>
          <w:rPr>
            <w:rStyle w:val="ListLabel1"/>
            <w:rFonts w:cs="Times New Roman" w:ascii="Times New Roman" w:hAnsi="Times New Roman"/>
            <w:color w:val="0000FF"/>
            <w:szCs w:val="32"/>
          </w:rPr>
          <w:t>пункте 25.1</w:t>
        </w:r>
      </w:hyperlink>
      <w:r>
        <w:rPr>
          <w:rFonts w:cs="Times New Roman" w:ascii="Times New Roman" w:hAnsi="Times New Roman"/>
          <w:szCs w:val="32"/>
        </w:rPr>
        <w:t xml:space="preserve"> Правил рыболовства.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4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Noto Sans Devanagari"/>
      <w:sz w:val="28"/>
    </w:rPr>
  </w:style>
  <w:style w:type="paragraph" w:styleId="Style16">
    <w:name w:val="Body Text"/>
    <w:basedOn w:val="Normal"/>
    <w:pPr>
      <w:spacing w:lineRule="exact" w:line="276" w:before="0" w:after="140"/>
    </w:pPr>
    <w:rPr/>
  </w:style>
  <w:style w:type="paragraph" w:styleId="Style17">
    <w:name w:val="List"/>
    <w:basedOn w:val="Style16"/>
    <w:pPr>
      <w:spacing w:lineRule="exact" w:line="276" w:before="0" w:after="140"/>
    </w:pPr>
    <w:rPr>
      <w:rFonts w:ascii="PT Astra Serif" w:hAnsi="PT Astra Serif" w:eastAsia="Noto Sans Devanagari"/>
    </w:rPr>
  </w:style>
  <w:style w:type="paragraph" w:styleId="Style18">
    <w:name w:val="Caption"/>
    <w:basedOn w:val="Normal"/>
    <w:qFormat/>
    <w:pPr>
      <w:spacing w:before="120" w:after="120"/>
    </w:pPr>
    <w:rPr>
      <w:rFonts w:ascii="PT Astra Serif" w:hAnsi="PT Astra Serif" w:eastAsia="Noto Sans Devanagari"/>
      <w:i/>
      <w:sz w:val="24"/>
    </w:rPr>
  </w:style>
  <w:style w:type="paragraph" w:styleId="Style19">
    <w:name w:val="Указатель"/>
    <w:basedOn w:val="Normal"/>
    <w:qFormat/>
    <w:pPr/>
    <w:rPr>
      <w:rFonts w:ascii="PT Astra Serif" w:hAnsi="PT Astra Serif" w:eastAsia="Noto Sans Devanagari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4"/>
      <w:lang w:val="ru-RU" w:eastAsia="ar-SA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color w:val="auto"/>
      <w:kern w:val="2"/>
      <w:sz w:val="16"/>
      <w:szCs w:val="24"/>
      <w:lang w:val="ru-RU" w:eastAsia="ar-SA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ar-SA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b/>
      <w:color w:val="auto"/>
      <w:kern w:val="2"/>
      <w:sz w:val="16"/>
      <w:szCs w:val="24"/>
      <w:lang w:val="ru-RU" w:eastAsia="ar-SA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ar-SA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16"/>
      <w:szCs w:val="24"/>
      <w:lang w:val="ru-RU" w:eastAsia="ar-SA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Tahoma" w:cs="Liberation Serif"/>
      <w:color w:val="auto"/>
      <w:kern w:val="2"/>
      <w:sz w:val="16"/>
      <w:szCs w:val="24"/>
      <w:lang w:val="ru-RU" w:eastAsia="ar-SA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Tahoma" w:cs="Liberation Serif"/>
      <w:color w:val="auto"/>
      <w:kern w:val="2"/>
      <w:sz w:val="26"/>
      <w:szCs w:val="24"/>
      <w:lang w:val="ru-RU" w:eastAsia="ar-SA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4"/>
      <w:lang w:val="ru-RU" w:eastAsia="ar-SA" w:bidi="hi-IN"/>
    </w:rPr>
  </w:style>
  <w:style w:type="paragraph" w:styleId="ConsPlusTextList1">
    <w:name w:val="ConsPlusTextList1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4"/>
      <w:lang w:val="ru-RU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7C5FD7D791C134F3B9CE1421283E283DB311DB4563D3C348A0F4736167E7FDF19B91F107FED6F57D3EE09DC8491697292DACD7F495032BAU2xBQ" TargetMode="External"/><Relationship Id="rId3" Type="http://schemas.openxmlformats.org/officeDocument/2006/relationships/hyperlink" Target="consultantplus://offline/ref=77C5FD7D791C134F3B9CE1421283E283DB311DB4563D3C348A0F4736167E7FDF19B91F107FED6F57DEEE09DC8491697292DACD7F495032BAU2xBQ" TargetMode="External"/><Relationship Id="rId4" Type="http://schemas.openxmlformats.org/officeDocument/2006/relationships/hyperlink" Target="consultantplus://offline/ref=77C5FD7D791C134F3B9CE1421283E283DB331EB0583E3C348A0F4736167E7FDF19B91F107FEF6955D0EE09DC8491697292DACD7F495032BAU2xBQ" TargetMode="External"/><Relationship Id="rId5" Type="http://schemas.openxmlformats.org/officeDocument/2006/relationships/hyperlink" Target="consultantplus://offline/ref=77C5FD7D791C134F3B9CE1421283E283DA321CB35C3A3C348A0F4736167E7FDF19B91F107FED6F50D6EE09DC8491697292DACD7F495032BAU2xBQ" TargetMode="External"/><Relationship Id="rId6" Type="http://schemas.openxmlformats.org/officeDocument/2006/relationships/hyperlink" Target="consultantplus://offline/ref=77C5FD7D791C134F3B9CE1421283E283DB311DB4563D3C348A0F4736167E7FDF19B91F107FED6F56D2EE09DC8491697292DACD7F495032BAU2xBQ" TargetMode="External"/><Relationship Id="rId7" Type="http://schemas.openxmlformats.org/officeDocument/2006/relationships/hyperlink" Target="consultantplus://offline/ref=77C5FD7D791C134F3B9CE1421283E283DA321CB35C3A3C348A0F4736167E7FDF19B91F107FED6F50D5EE09DC8491697292DACD7F495032BAU2xBQ" TargetMode="External"/><Relationship Id="rId8" Type="http://schemas.openxmlformats.org/officeDocument/2006/relationships/hyperlink" Target="consultantplus://offline/ref=77C5FD7D791C134F3B9CE1421283E283DB331EB0583E3C348A0F4736167E7FDF19B91F107FED6A57DFEE09DC8491697292DACD7F495032BAU2xBQ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 LibreOffice_project/1ec314fa52f458adc18c4f025c545a4e8b22c159</Application>
  <Pages>1</Pages>
  <Words>292</Words>
  <Characters>1832</Characters>
  <CharactersWithSpaces>2101</CharactersWithSpaces>
  <Paragraphs>23</Paragraphs>
  <Company>КонсультантПлюс Версия 4020.00.25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2021-04-15T08:57:00Z</dcterms:created>
  <dc:creator>Ванюкова Нина</dc:creator>
  <dc:description/>
  <dc:language>ru-RU</dc:language>
  <cp:lastModifiedBy/>
  <dcterms:modified xsi:type="dcterms:W3CDTF">2021-04-15T10:53:00Z</dcterms:modified>
  <cp:revision>0</cp:revision>
  <dc:subject/>
  <dc:title>Приказ Минсельхоза России от 18.11.2014 N 453(ред. от 25.07.2019)"Об утверждении правил рыболовства для Волжско-Каспийского рыбохозяйственного бассейна"(Зарегистрировано в Минюсте России 08.12.2014 N 35097)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  <property fmtid="{D5CDD505-2E9C-101B-9397-08002B2CF9AE}" pid="3" name="Operator">
    <vt:lpwstr>Ванюкова Нина</vt:lpwstr>
  </property>
</Properties>
</file>