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>
      <w:pPr>
        <w:pStyle w:val="Normal"/>
        <w:spacing w:lineRule="auto" w:line="276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Информационно-статистический обзор обращений граждан, объединений граждан, в том числе юридических лиц, поступивших и рассмотренных в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квартале 2021 г.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квартале 2021 года в Управление поступило всего 300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обращений, в том числе 1 (одно) обращение анонимного автора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182 обращения от общего количества поступили в Управление в электронном виде, в т.ч. посредством официального сайта Управления и электронной поч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ты, и составило 60 % от общего количества поступивших обращений.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отчетном периоде 116 обращений поступили из других государственных органов и организаций для рассмотрения в порядке компетенции: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органов прокуратуры Российской Федерации – 20 обращений;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других федеральных органов исполнительной власти и организаций –96 обращений.</w:t>
      </w:r>
    </w:p>
    <w:p>
      <w:pPr>
        <w:pStyle w:val="Normal"/>
        <w:spacing w:lineRule="auto" w:line="276" w:beforeAutospacing="1" w:afterAutospacing="1"/>
        <w:ind w:left="142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обращения граждан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перенаправлены по принадлежности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другие федеральные органы исполнительной власти для рассмотрения в рамках предоставленных полномочий. </w:t>
      </w:r>
    </w:p>
    <w:p>
      <w:pPr>
        <w:pStyle w:val="Normal"/>
        <w:spacing w:lineRule="auto" w:line="276" w:beforeAutospacing="1" w:afterAutospacing="1"/>
        <w:ind w:left="142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поручению Федерального агентства по рыболовству в рамках предоставленных полномочий рассмотрено Управлением 68 обращений граждан. </w:t>
      </w:r>
    </w:p>
    <w:p>
      <w:pPr>
        <w:pStyle w:val="Normal"/>
        <w:spacing w:lineRule="auto" w:line="276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 биоресурсов – 49;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факт браконьерского лова запрещенными Правилами рыболовства орудиями лова – 11;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 – 15;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организации незаконной любительской рыбалки (платной) – 3;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гибель ВБР – 89;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вопросу согласования строительства индивидуального жилого строительства – 10;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иные обращения – 125.</w:t>
      </w:r>
    </w:p>
    <w:p>
      <w:pPr>
        <w:pStyle w:val="ListParagraph"/>
        <w:spacing w:lineRule="auto" w:line="276"/>
        <w:ind w:left="142" w:firstLine="56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общего количества зарегистрированных обращений по 19 обращениям - принято решение о направлении в территориальные отделы Управления, находящиеся в зоне деятельности Управления (Белгородская, Брянская, Владимирская, Калужская, Курская, Орловская, Рязанская, Смоленская, Тамбовская, Тульская, Ивановская, Костромская, Нижегородская, Тверская, Ярославская, Вологодская (Череповецкий район) области) для рассмотрения и подготовки ответов заявителям.</w:t>
      </w:r>
    </w:p>
    <w:p>
      <w:pPr>
        <w:pStyle w:val="ListParagraph"/>
        <w:spacing w:lineRule="auto" w:line="276"/>
        <w:ind w:left="142" w:firstLine="56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отчетном периоде осуществлен личный прием 1 (одного) гражданина, по которому даны необходимые разъяснения по поставленным вопросам.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квартале 2021 года в территориальные отделы, находящиеся в зоне деятельности Управления поступило всего 261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обращения,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том числе 1 (одно)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обращение анонимного автора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 обращений перенаправлены по принадлежности в другие федеральные органы исполнительной власти для рассмотрения в рамках предоставленных полномочий.</w:t>
      </w:r>
    </w:p>
    <w:p>
      <w:pPr>
        <w:pStyle w:val="Normal"/>
        <w:spacing w:lineRule="auto" w:line="276" w:beforeAutospacing="1" w:afterAutospacing="1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 биоресурсов – 42;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нарушение режима использования водоохранной зоны (прибрежных полос) и нарушение правил охраны водных биологических ресурсов – 65;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факт браконьерского лова запрещенными Правилами рыболовства орудиями лова – 25;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 – 15;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организации незаконной любительской рыбалки (платной) – 8;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гибель ВБР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43;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иные обращения – 56.</w:t>
      </w:r>
    </w:p>
    <w:p>
      <w:pPr>
        <w:pStyle w:val="Normal"/>
        <w:spacing w:lineRule="auto" w:line="276" w:before="0" w:after="16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629236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0fbd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b55d7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b55d7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bc04c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c0f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db55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db55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Application>LibreOffice/6.4.6.2$Linux_X86_64 LibreOffice_project/40$Build-2</Application>
  <Pages>3</Pages>
  <Words>460</Words>
  <Characters>3249</Characters>
  <CharactersWithSpaces>3698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2019-02-25T09:44:00Z</dcterms:created>
  <dc:creator>Екатерина Никаноренкова</dc:creator>
  <dc:description/>
  <dc:language>ru-RU</dc:language>
  <cp:lastModifiedBy>Екатерина Никаноренкова</cp:lastModifiedBy>
  <cp:lastPrinted>2021-10-27T06:44:00Z</cp:lastPrinted>
  <dcterms:modified xsi:type="dcterms:W3CDTF">2021-10-27T07:02:00Z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